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B34798" w:rsidRDefault="00FA46DB" w:rsidP="002E27E1">
      <w:pPr>
        <w:jc w:val="center"/>
        <w:rPr>
          <w:rFonts w:eastAsiaTheme="minorEastAsia"/>
          <w:b/>
          <w:sz w:val="32"/>
          <w:szCs w:val="32"/>
          <w:lang w:eastAsia="zh-CN"/>
        </w:rPr>
      </w:pPr>
      <w:r w:rsidRPr="00B34798">
        <w:rPr>
          <w:rFonts w:eastAsiaTheme="minorEastAsia" w:hint="eastAsia"/>
          <w:b/>
          <w:sz w:val="32"/>
          <w:szCs w:val="32"/>
          <w:lang w:eastAsia="zh-CN"/>
        </w:rPr>
        <w:t>《</w:t>
      </w:r>
      <w:r w:rsidRPr="00FA46DB">
        <w:rPr>
          <w:rFonts w:ascii="宋体" w:eastAsia="宋体" w:hAnsi="宋体" w:hint="eastAsia"/>
          <w:b/>
          <w:sz w:val="32"/>
          <w:szCs w:val="32"/>
          <w:lang w:eastAsia="zh-CN"/>
        </w:rPr>
        <w:t>风险管理</w:t>
      </w:r>
      <w:r w:rsidRPr="00B34798">
        <w:rPr>
          <w:rFonts w:eastAsiaTheme="minorEastAsia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60"/>
        <w:gridCol w:w="369"/>
        <w:gridCol w:w="623"/>
        <w:gridCol w:w="1550"/>
        <w:gridCol w:w="1665"/>
        <w:gridCol w:w="45"/>
        <w:gridCol w:w="851"/>
        <w:gridCol w:w="708"/>
        <w:gridCol w:w="490"/>
        <w:gridCol w:w="1091"/>
      </w:tblGrid>
      <w:tr w:rsidR="002A4810" w:rsidRPr="006C759E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A4810" w:rsidRPr="002A4810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B41DEC" w:rsidRPr="002E13FC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风险管理</w:t>
            </w:r>
          </w:p>
        </w:tc>
        <w:tc>
          <w:tcPr>
            <w:tcW w:w="4850" w:type="dxa"/>
            <w:gridSpan w:val="6"/>
            <w:vAlign w:val="center"/>
          </w:tcPr>
          <w:p w:rsidR="002A4810" w:rsidRPr="002A4810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选修）：专业选修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A4810" w:rsidRPr="00A75A06" w:rsidRDefault="002E13FC" w:rsidP="00A75A0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2E13F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Risk management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A4810" w:rsidRPr="002A4810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周学时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学分：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850" w:type="dxa"/>
            <w:gridSpan w:val="6"/>
            <w:vAlign w:val="center"/>
          </w:tcPr>
          <w:p w:rsidR="002A4810" w:rsidRPr="00B15BD6" w:rsidRDefault="002E13FC" w:rsidP="00B15BD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Pr="002E13F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2A4810" w:rsidRPr="006C759E" w:rsidTr="007D6462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A4810" w:rsidRPr="00B41DEC" w:rsidRDefault="002E13FC" w:rsidP="00B41DE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B41DEC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投資學</w:t>
            </w:r>
          </w:p>
        </w:tc>
        <w:tc>
          <w:tcPr>
            <w:tcW w:w="4850" w:type="dxa"/>
            <w:gridSpan w:val="6"/>
          </w:tcPr>
          <w:p w:rsidR="002A4810" w:rsidRPr="002A4810" w:rsidRDefault="002A4810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A4810" w:rsidRPr="002A4810" w:rsidRDefault="002E13FC" w:rsidP="003F716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授课时间：周</w:t>
            </w:r>
            <w:r w:rsidR="003F716D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四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3F716D">
              <w:rPr>
                <w:rFonts w:ascii="宋体" w:hAnsi="宋体" w:hint="eastAsia"/>
                <w:b/>
                <w:sz w:val="21"/>
                <w:szCs w:val="21"/>
                <w:lang w:eastAsia="zh-TW"/>
              </w:rPr>
              <w:t>1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-</w:t>
            </w:r>
            <w:r w:rsidR="003F716D">
              <w:rPr>
                <w:rFonts w:ascii="宋体" w:hAnsi="宋体" w:hint="eastAsia"/>
                <w:b/>
                <w:sz w:val="21"/>
                <w:szCs w:val="21"/>
                <w:lang w:eastAsia="zh-TW"/>
              </w:rPr>
              <w:t>3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0" w:type="dxa"/>
            <w:gridSpan w:val="6"/>
            <w:vAlign w:val="center"/>
          </w:tcPr>
          <w:p w:rsidR="002A4810" w:rsidRPr="00AE3FB4" w:rsidRDefault="002E13FC" w:rsidP="00AE3FB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147D7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实验楼</w:t>
            </w:r>
            <w:r w:rsidR="00AE3FB4">
              <w:rPr>
                <w:rFonts w:ascii="宋体" w:hAnsi="宋体" w:hint="eastAsia"/>
                <w:b/>
                <w:sz w:val="21"/>
                <w:szCs w:val="21"/>
                <w:lang w:eastAsia="zh-TW"/>
              </w:rPr>
              <w:t>315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A4810" w:rsidRPr="003F716D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级经济与金融专业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A4810" w:rsidRPr="002A4810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 w:rsidR="003F716D"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粤台产业科技学院经济与金融</w:t>
            </w:r>
            <w:r w:rsidR="003F716D" w:rsidRPr="003F716D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系</w:t>
            </w:r>
            <w:bookmarkStart w:id="0" w:name="_GoBack"/>
            <w:bookmarkEnd w:id="0"/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A4810" w:rsidRPr="002A4810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职称：谢松霖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A4810" w:rsidRPr="002A4810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13539025375</w:t>
            </w:r>
          </w:p>
        </w:tc>
        <w:tc>
          <w:tcPr>
            <w:tcW w:w="4850" w:type="dxa"/>
            <w:gridSpan w:val="6"/>
            <w:vAlign w:val="center"/>
          </w:tcPr>
          <w:p w:rsidR="002A4810" w:rsidRPr="002A4810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Email:handsomesony@126.com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A4810" w:rsidRPr="002A4810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答疑时间、地点与方式：周三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, 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周四全天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/214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办公室</w:t>
            </w:r>
            <w:r w:rsidRPr="002A481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面授与讨论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A4810" w:rsidRPr="002A4810" w:rsidRDefault="002E13FC" w:rsidP="00AB255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AB255C"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（）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（）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A4810" w:rsidRPr="002A4810" w:rsidRDefault="002E13FC" w:rsidP="00AE3FB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《风险管理与保险原理》，第</w:t>
            </w:r>
            <w:r w:rsidRPr="005E0E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三版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E0E9A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5E0E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</w:t>
            </w:r>
            <w:r w:rsidRPr="005E0E9A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5E0E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赫尔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E0E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王勇</w:t>
            </w:r>
            <w:r w:rsidRPr="002A481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译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E0E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机械工业出版社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2A4810"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 w:rsidRPr="002E13FC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2A4810" w:rsidRPr="002A4810" w:rsidRDefault="002E13FC" w:rsidP="00AE3FB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2A4810" w:rsidRPr="006026E2" w:rsidRDefault="002E13FC" w:rsidP="00AE3FB4">
            <w:pPr>
              <w:widowControl w:val="0"/>
              <w:numPr>
                <w:ilvl w:val="0"/>
                <w:numId w:val="5"/>
              </w:num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6026E2">
              <w:rPr>
                <w:rFonts w:ascii="宋体" w:eastAsia="宋体" w:hAnsi="宋体"/>
                <w:sz w:val="21"/>
                <w:szCs w:val="21"/>
                <w:lang w:eastAsia="zh-CN"/>
              </w:rPr>
              <w:t>Risk Management and Financial Institutions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6026E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，第四版，</w:t>
            </w:r>
            <w:r w:rsidRPr="006026E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John C. Hull</w:t>
            </w:r>
            <w:r w:rsidRPr="006026E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，约翰威立商务服务（北京）有限公司</w:t>
            </w:r>
            <w:r w:rsidRPr="006026E2">
              <w:rPr>
                <w:rFonts w:ascii="宋体" w:eastAsia="宋体" w:hAnsi="宋体"/>
                <w:sz w:val="21"/>
                <w:szCs w:val="21"/>
                <w:lang w:eastAsia="zh-CN"/>
              </w:rPr>
              <w:t>Wiley</w:t>
            </w:r>
            <w:r w:rsidRPr="006026E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6026E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2014</w:t>
            </w:r>
            <w:r w:rsidRPr="006026E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2A4810" w:rsidRPr="002A4810" w:rsidRDefault="002E13FC" w:rsidP="00AE3FB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B0E43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2B0E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风险管理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</w:t>
            </w:r>
            <w:r w:rsidRPr="002B0E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王周伟</w:t>
            </w: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2B0E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机械工业出版社，</w:t>
            </w:r>
            <w:r w:rsidRPr="002B0E43">
              <w:rPr>
                <w:rFonts w:ascii="宋体" w:eastAsia="宋体" w:hAnsi="宋体"/>
                <w:sz w:val="21"/>
                <w:szCs w:val="21"/>
                <w:lang w:eastAsia="zh-CN"/>
              </w:rPr>
              <w:t>2017</w:t>
            </w:r>
            <w:r w:rsidRPr="002B0E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</w:tc>
      </w:tr>
      <w:tr w:rsidR="002A4810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A4810" w:rsidRPr="00D12618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2A4810" w:rsidRPr="002A4810" w:rsidRDefault="002E13FC" w:rsidP="00DE0A75">
            <w:pPr>
              <w:tabs>
                <w:tab w:val="left" w:pos="1440"/>
              </w:tabs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D12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课程教学在了解企业与金融机构各种风险型态，测量及管理风险的方法。风险管理是一门重要且具挑战性的课程，在国际化与金融创新下更显得重要，随着金融机构内模型与数据库的建立、风险的衡量、资本适足率的要求、政府金融监理等发展，都为风险管理带来新的面貌与挑战。教学内容包含：</w:t>
            </w:r>
            <w:r w:rsidRPr="00D12618">
              <w:rPr>
                <w:rFonts w:ascii="宋体" w:eastAsia="宋体" w:hAnsi="宋体"/>
                <w:sz w:val="21"/>
                <w:szCs w:val="21"/>
                <w:lang w:eastAsia="zh-CN"/>
              </w:rPr>
              <w:t>1.)</w:t>
            </w:r>
            <w:r w:rsidRPr="00D12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金融风险的定义、分类、限制及目的；</w:t>
            </w:r>
            <w:r w:rsidRPr="00D12618">
              <w:rPr>
                <w:rFonts w:ascii="宋体" w:eastAsia="宋体" w:hAnsi="宋体"/>
                <w:sz w:val="21"/>
                <w:szCs w:val="21"/>
                <w:lang w:eastAsia="zh-CN"/>
              </w:rPr>
              <w:t>2.)</w:t>
            </w:r>
            <w:r w:rsidRPr="00D12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巿场风险的衡量方法；</w:t>
            </w:r>
            <w:r w:rsidRPr="00D12618">
              <w:rPr>
                <w:rFonts w:ascii="宋体" w:eastAsia="宋体" w:hAnsi="宋体"/>
                <w:sz w:val="21"/>
                <w:szCs w:val="21"/>
                <w:lang w:eastAsia="zh-CN"/>
              </w:rPr>
              <w:t>3.)</w:t>
            </w:r>
            <w:r w:rsidRPr="00D12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风险暴露管理；</w:t>
            </w:r>
            <w:r w:rsidRPr="00D12618">
              <w:rPr>
                <w:rFonts w:ascii="宋体" w:eastAsia="宋体" w:hAnsi="宋体"/>
                <w:sz w:val="21"/>
                <w:szCs w:val="21"/>
                <w:lang w:eastAsia="zh-CN"/>
              </w:rPr>
              <w:t>4.)</w:t>
            </w:r>
            <w:r w:rsidRPr="00D12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风险价值度、波动率、利率风险、相关等风险指标；</w:t>
            </w:r>
            <w:r w:rsidRPr="00D12618">
              <w:rPr>
                <w:rFonts w:ascii="宋体" w:eastAsia="宋体" w:hAnsi="宋体"/>
                <w:sz w:val="21"/>
                <w:szCs w:val="21"/>
                <w:lang w:eastAsia="zh-CN"/>
              </w:rPr>
              <w:t>5.)</w:t>
            </w:r>
            <w:r w:rsidRPr="00D12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信用风险及常见的量化模型；</w:t>
            </w:r>
            <w:r w:rsidRPr="00D12618">
              <w:rPr>
                <w:rFonts w:ascii="宋体" w:eastAsia="宋体" w:hAnsi="宋体"/>
                <w:sz w:val="21"/>
                <w:szCs w:val="21"/>
                <w:lang w:eastAsia="zh-CN"/>
              </w:rPr>
              <w:t>6.)</w:t>
            </w:r>
            <w:r w:rsidRPr="00D12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操作风险、流动性风险与其他风险；</w:t>
            </w:r>
            <w:r w:rsidRPr="00D12618">
              <w:rPr>
                <w:rFonts w:ascii="宋体" w:eastAsia="宋体" w:hAnsi="宋体"/>
                <w:sz w:val="21"/>
                <w:szCs w:val="21"/>
                <w:lang w:eastAsia="zh-CN"/>
              </w:rPr>
              <w:t>7.)</w:t>
            </w:r>
            <w:r w:rsidRPr="00D126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巴塞尔资木协议、全方位风险管理、新型态风险管理工具。</w:t>
            </w:r>
            <w:r w:rsidRPr="00D12618">
              <w:rPr>
                <w:rFonts w:eastAsia="宋体" w:hint="eastAsia"/>
                <w:sz w:val="21"/>
                <w:szCs w:val="21"/>
                <w:lang w:eastAsia="zh-CN"/>
              </w:rPr>
              <w:t>我们将藉助银行风险管理的主题来提供具体的例子。然而，课程所涵盖的原理与方法是一般性的，适用于所有的企业风险管理。</w:t>
            </w:r>
          </w:p>
        </w:tc>
      </w:tr>
      <w:tr w:rsidR="002A4810" w:rsidRPr="006C759E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2A4810" w:rsidRPr="002A4810" w:rsidRDefault="002E13FC" w:rsidP="002A4810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481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DE0A75" w:rsidRPr="00DE0A75" w:rsidRDefault="002E13FC" w:rsidP="00DE0A75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E0A7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 w:rsidRPr="00DE0A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培养学生具备专门的风险管理知识</w:t>
            </w:r>
            <w:r w:rsidR="00547D6C"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（理解）</w:t>
            </w:r>
            <w:r w:rsidRPr="00DE0A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DE0A75" w:rsidRDefault="002E13FC" w:rsidP="00DE0A75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DE0A7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DE0A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培养顶尖的金融风险控管人员以符合产业界之需求</w:t>
            </w:r>
            <w:r w:rsidR="00547D6C"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（综合）</w:t>
            </w:r>
            <w:r w:rsidRPr="00DE0A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2A4810" w:rsidRDefault="002E13FC" w:rsidP="00547D6C"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/>
                <w:sz w:val="21"/>
                <w:szCs w:val="21"/>
                <w:lang w:eastAsia="zh-CN"/>
              </w:rPr>
            </w:pPr>
            <w:r w:rsidRPr="00DE0A7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3. </w:t>
            </w:r>
            <w:r w:rsidRPr="00DE0A7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培养学生应用风阾管理于公司与产业界的能力及专业态度</w:t>
            </w:r>
            <w:r w:rsidR="00547D6C"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（综合）</w:t>
            </w:r>
          </w:p>
          <w:p w:rsidR="00AE3FB4" w:rsidRDefault="00AE3FB4" w:rsidP="00547D6C"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/>
                <w:sz w:val="21"/>
                <w:szCs w:val="21"/>
                <w:lang w:eastAsia="zh-CN"/>
              </w:rPr>
            </w:pPr>
          </w:p>
          <w:p w:rsidR="00AE3FB4" w:rsidRDefault="00AE3FB4" w:rsidP="00547D6C"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/>
                <w:sz w:val="21"/>
                <w:szCs w:val="21"/>
                <w:lang w:eastAsia="zh-CN"/>
              </w:rPr>
            </w:pPr>
          </w:p>
          <w:p w:rsidR="00AE3FB4" w:rsidRDefault="00AE3FB4" w:rsidP="00547D6C"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/>
                <w:sz w:val="21"/>
                <w:szCs w:val="21"/>
                <w:lang w:eastAsia="zh-CN"/>
              </w:rPr>
            </w:pPr>
          </w:p>
          <w:p w:rsidR="00AE3FB4" w:rsidRDefault="00AE3FB4" w:rsidP="00547D6C"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/>
                <w:sz w:val="21"/>
                <w:szCs w:val="21"/>
                <w:lang w:eastAsia="zh-CN"/>
              </w:rPr>
            </w:pPr>
          </w:p>
          <w:p w:rsidR="00AE3FB4" w:rsidRPr="00AE3FB4" w:rsidRDefault="00AE3FB4" w:rsidP="00547D6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5"/>
          </w:tcPr>
          <w:p w:rsidR="002A4810" w:rsidRPr="00BF47B5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本课程与学生核心能力培养之间的关联</w:t>
            </w:r>
            <w:r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(</w:t>
            </w: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授课对象为理工科专业学生的课程填写此栏）：</w:t>
            </w:r>
          </w:p>
          <w:p w:rsidR="002A4810" w:rsidRPr="00BF47B5" w:rsidRDefault="00AE3FB4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■</w:t>
            </w:r>
            <w:r w:rsidR="002E13FC"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核心能力</w:t>
            </w:r>
            <w:r w:rsidR="002E13FC"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1.</w:t>
            </w:r>
          </w:p>
          <w:p w:rsidR="002A4810" w:rsidRPr="00BF47B5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■核心能力</w:t>
            </w:r>
            <w:r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2.</w:t>
            </w:r>
          </w:p>
          <w:p w:rsidR="002A4810" w:rsidRPr="00BF47B5" w:rsidRDefault="00AE3FB4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■</w:t>
            </w:r>
            <w:r w:rsidR="002E13FC"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核心能力</w:t>
            </w:r>
            <w:r w:rsidR="002E13FC"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3.</w:t>
            </w:r>
          </w:p>
          <w:p w:rsidR="002A4810" w:rsidRPr="00BF47B5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■核心能力</w:t>
            </w:r>
            <w:r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4.</w:t>
            </w:r>
          </w:p>
          <w:p w:rsidR="002A4810" w:rsidRPr="00BF47B5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■核心能力</w:t>
            </w:r>
            <w:r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5.</w:t>
            </w:r>
          </w:p>
          <w:p w:rsidR="002A4810" w:rsidRPr="00AE3FB4" w:rsidRDefault="002E13FC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hint="eastAsia"/>
                <w:b/>
                <w:sz w:val="18"/>
                <w:szCs w:val="18"/>
                <w:lang w:eastAsia="zh-TW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■核心能力</w:t>
            </w:r>
            <w:r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6.</w:t>
            </w:r>
          </w:p>
          <w:p w:rsidR="002A4810" w:rsidRPr="00BF47B5" w:rsidRDefault="00AE3FB4" w:rsidP="007D6462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■</w:t>
            </w:r>
            <w:r w:rsidR="002E13FC"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核心能力</w:t>
            </w:r>
            <w:r w:rsidR="002E13FC"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7</w:t>
            </w:r>
            <w:r w:rsidR="002E13FC"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．</w:t>
            </w:r>
          </w:p>
          <w:p w:rsidR="00AE3FB4" w:rsidRPr="00AE3FB4" w:rsidRDefault="00AE3FB4" w:rsidP="00AE3FB4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TW"/>
              </w:rPr>
            </w:pPr>
            <w:r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■</w:t>
            </w:r>
            <w:r w:rsidR="002E13FC"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核心能力</w:t>
            </w:r>
            <w:r w:rsidR="002E13FC" w:rsidRPr="00BF47B5">
              <w:rPr>
                <w:rFonts w:ascii="宋体" w:eastAsia="宋体" w:hAnsi="宋体"/>
                <w:b/>
                <w:sz w:val="18"/>
                <w:szCs w:val="18"/>
                <w:lang w:eastAsia="zh-CN"/>
              </w:rPr>
              <w:t>8</w:t>
            </w:r>
            <w:r w:rsidR="002E13FC" w:rsidRPr="00BF47B5">
              <w:rPr>
                <w:rFonts w:ascii="宋体" w:eastAsia="宋体" w:hAnsi="宋体" w:hint="eastAsia"/>
                <w:b/>
                <w:sz w:val="18"/>
                <w:szCs w:val="18"/>
                <w:lang w:eastAsia="zh-CN"/>
              </w:rPr>
              <w:t>．</w:t>
            </w:r>
          </w:p>
        </w:tc>
      </w:tr>
      <w:tr w:rsidR="00735FDE" w:rsidRPr="006C759E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552DB5" w:rsidRDefault="002E13FC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52DB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6C759E" w:rsidTr="00735F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D12618" w:rsidRDefault="002E13F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D12618" w:rsidRDefault="002E13F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D12618" w:rsidRDefault="002E13F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D12618" w:rsidRDefault="002E13F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D12618" w:rsidRDefault="002E13F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D12618" w:rsidRDefault="002E13F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作业安排</w:t>
            </w:r>
          </w:p>
        </w:tc>
      </w:tr>
      <w:tr w:rsidR="0036612D" w:rsidRPr="006C759E" w:rsidTr="007D6462">
        <w:trPr>
          <w:trHeight w:val="340"/>
          <w:jc w:val="center"/>
        </w:trPr>
        <w:tc>
          <w:tcPr>
            <w:tcW w:w="649" w:type="dxa"/>
            <w:vAlign w:val="center"/>
          </w:tcPr>
          <w:p w:rsidR="0036612D" w:rsidRPr="0036612D" w:rsidRDefault="0036612D" w:rsidP="007D6462">
            <w:pPr>
              <w:jc w:val="center"/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729" w:type="dxa"/>
            <w:gridSpan w:val="2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风险管理基本概念与范畴</w:t>
            </w:r>
          </w:p>
        </w:tc>
        <w:tc>
          <w:tcPr>
            <w:tcW w:w="623" w:type="dxa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重点：风险与回报，资产订价模型回顾、公司风险、金融机构风险、信用评等</w:t>
            </w:r>
          </w:p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难点：风险的量化、阿尔法的应用</w:t>
            </w:r>
          </w:p>
        </w:tc>
        <w:tc>
          <w:tcPr>
            <w:tcW w:w="1198" w:type="dxa"/>
            <w:gridSpan w:val="2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36612D" w:rsidRPr="006C759E" w:rsidTr="007D6462">
        <w:trPr>
          <w:trHeight w:val="340"/>
          <w:jc w:val="center"/>
        </w:trPr>
        <w:tc>
          <w:tcPr>
            <w:tcW w:w="649" w:type="dxa"/>
            <w:vAlign w:val="center"/>
          </w:tcPr>
          <w:p w:rsidR="0036612D" w:rsidRPr="00D12618" w:rsidRDefault="0036612D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介绍共同基金及其风险策略</w:t>
            </w:r>
          </w:p>
        </w:tc>
        <w:tc>
          <w:tcPr>
            <w:tcW w:w="623" w:type="dxa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重点：共同基金与对冲基金的各种投资策略</w:t>
            </w:r>
          </w:p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难点：对冲基金的风险策略</w:t>
            </w:r>
          </w:p>
        </w:tc>
        <w:tc>
          <w:tcPr>
            <w:tcW w:w="1198" w:type="dxa"/>
            <w:gridSpan w:val="2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</w:tcPr>
          <w:p w:rsidR="0036612D" w:rsidRPr="00D12618" w:rsidRDefault="0036612D" w:rsidP="00705D1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36612D" w:rsidRPr="006C759E" w:rsidTr="007D6462">
        <w:trPr>
          <w:trHeight w:val="340"/>
          <w:jc w:val="center"/>
        </w:trPr>
        <w:tc>
          <w:tcPr>
            <w:tcW w:w="649" w:type="dxa"/>
            <w:vAlign w:val="center"/>
          </w:tcPr>
          <w:p w:rsidR="0036612D" w:rsidRPr="00D12618" w:rsidRDefault="00B769B1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</w:tcPr>
          <w:p w:rsidR="0036612D" w:rsidRPr="0036612D" w:rsidRDefault="00B769B1" w:rsidP="0036612D">
            <w:pP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</w:pPr>
            <w:r w:rsidRPr="00B769B1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衍生性金融商品</w:t>
            </w:r>
            <w:r w:rsidRPr="00B769B1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</w:tcPr>
          <w:p w:rsidR="0036612D" w:rsidRPr="00D12618" w:rsidRDefault="0036612D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4111" w:type="dxa"/>
            <w:gridSpan w:val="4"/>
          </w:tcPr>
          <w:p w:rsidR="0036612D" w:rsidRPr="0036612D" w:rsidRDefault="00B769B1" w:rsidP="0036612D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F90591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期货市场运作与定价、远期、利率期货</w:t>
            </w:r>
          </w:p>
          <w:p w:rsidR="0036612D" w:rsidRPr="00D12618" w:rsidRDefault="00B769B1" w:rsidP="0036612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F9059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对冲策略操作与互换</w:t>
            </w:r>
          </w:p>
        </w:tc>
        <w:tc>
          <w:tcPr>
            <w:tcW w:w="1198" w:type="dxa"/>
            <w:gridSpan w:val="2"/>
          </w:tcPr>
          <w:p w:rsidR="0036612D" w:rsidRPr="00B769B1" w:rsidRDefault="00B769B1" w:rsidP="009A0238">
            <w:pP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</w:tcPr>
          <w:p w:rsidR="0036612D" w:rsidRPr="00D12618" w:rsidRDefault="0036612D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36612D" w:rsidRPr="006C759E" w:rsidTr="007D6462">
        <w:trPr>
          <w:trHeight w:val="340"/>
          <w:jc w:val="center"/>
        </w:trPr>
        <w:tc>
          <w:tcPr>
            <w:tcW w:w="649" w:type="dxa"/>
            <w:vAlign w:val="center"/>
          </w:tcPr>
          <w:p w:rsidR="0036612D" w:rsidRPr="00D12618" w:rsidRDefault="00B769B1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</w:tcPr>
          <w:p w:rsidR="0036612D" w:rsidRPr="00D12618" w:rsidRDefault="00B769B1" w:rsidP="0036612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769B1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衍生性金融商品</w:t>
            </w:r>
            <w:r w:rsidRPr="00B769B1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</w:tcPr>
          <w:p w:rsidR="0036612D" w:rsidRPr="00D12618" w:rsidRDefault="00B769B1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F90591" w:rsidRPr="0036612D" w:rsidRDefault="00B769B1" w:rsidP="00F90591"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B769B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股票期权</w:t>
            </w:r>
            <w:r w:rsidRPr="00F90591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市场运作与定价、</w:t>
            </w:r>
            <w:r w:rsidRPr="00B769B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股票期权交易策略</w:t>
            </w:r>
          </w:p>
          <w:p w:rsidR="0036612D" w:rsidRPr="00D12618" w:rsidRDefault="00B769B1" w:rsidP="00B769B1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B769B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期权定价模型与交易策略组合</w:t>
            </w:r>
          </w:p>
        </w:tc>
        <w:tc>
          <w:tcPr>
            <w:tcW w:w="1198" w:type="dxa"/>
            <w:gridSpan w:val="2"/>
          </w:tcPr>
          <w:p w:rsidR="0036612D" w:rsidRPr="00D12618" w:rsidRDefault="00B769B1" w:rsidP="00B41AB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</w:tcPr>
          <w:p w:rsidR="0036612D" w:rsidRPr="00D12618" w:rsidRDefault="0036612D" w:rsidP="00337A99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36612D" w:rsidRPr="006C759E" w:rsidTr="007D6462">
        <w:trPr>
          <w:trHeight w:val="340"/>
          <w:jc w:val="center"/>
        </w:trPr>
        <w:tc>
          <w:tcPr>
            <w:tcW w:w="649" w:type="dxa"/>
            <w:vAlign w:val="center"/>
          </w:tcPr>
          <w:p w:rsidR="0036612D" w:rsidRPr="00D12618" w:rsidRDefault="0036612D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</w:tcPr>
          <w:p w:rsidR="0036612D" w:rsidRPr="00D12618" w:rsidRDefault="0036612D" w:rsidP="0048340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如何管理风险暴露</w:t>
            </w:r>
          </w:p>
        </w:tc>
        <w:tc>
          <w:tcPr>
            <w:tcW w:w="623" w:type="dxa"/>
          </w:tcPr>
          <w:p w:rsidR="0036612D" w:rsidRPr="00D12618" w:rsidRDefault="0036612D" w:rsidP="0048340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</w:tcPr>
          <w:p w:rsidR="0036612D" w:rsidRPr="00D12618" w:rsidRDefault="0036612D" w:rsidP="0048340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重点：介绍常用风险衡量指标，如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Delta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Gamma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Vega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Theta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Rho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Greek letters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等</w:t>
            </w:r>
          </w:p>
          <w:p w:rsidR="0036612D" w:rsidRPr="00D12618" w:rsidRDefault="0036612D" w:rsidP="0048340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难点：指标使用时机与分析、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Greek letters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的计算与应用</w:t>
            </w:r>
          </w:p>
        </w:tc>
        <w:tc>
          <w:tcPr>
            <w:tcW w:w="1198" w:type="dxa"/>
            <w:gridSpan w:val="2"/>
          </w:tcPr>
          <w:p w:rsidR="0036612D" w:rsidRPr="00D12618" w:rsidRDefault="0036612D" w:rsidP="0048340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</w:tcPr>
          <w:p w:rsidR="0036612D" w:rsidRPr="00D12618" w:rsidRDefault="0036612D" w:rsidP="00483404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36612D" w:rsidRPr="006C759E" w:rsidTr="007D6462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36612D" w:rsidRPr="00D12618" w:rsidRDefault="0036612D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36612D" w:rsidRPr="00D12618" w:rsidRDefault="0036612D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风险价值度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36612D" w:rsidRPr="00D12618" w:rsidRDefault="0036612D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36612D" w:rsidRPr="00D12618" w:rsidRDefault="0036612D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VaR (value at risk) 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风险评量方法与回测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，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VaR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之测试与限制</w:t>
            </w:r>
          </w:p>
          <w:p w:rsidR="0036612D" w:rsidRPr="00D12618" w:rsidRDefault="0036612D" w:rsidP="00FE0F5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VaR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的参数选择与回测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，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实际数据分析操作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6612D" w:rsidRPr="00D12618" w:rsidRDefault="0036612D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36612D" w:rsidRPr="00D12618" w:rsidRDefault="0036612D" w:rsidP="006A760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作业1风险价值度计算与分析</w:t>
            </w:r>
          </w:p>
        </w:tc>
      </w:tr>
      <w:tr w:rsidR="0036612D" w:rsidRPr="006C759E" w:rsidTr="009E12C6">
        <w:trPr>
          <w:trHeight w:val="975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36612D" w:rsidRPr="00D12618" w:rsidRDefault="0036612D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36612D" w:rsidRPr="00D12618" w:rsidRDefault="0036612D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波动率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36612D" w:rsidRPr="00D12618" w:rsidRDefault="0036612D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36612D" w:rsidRPr="00D12618" w:rsidRDefault="0036612D" w:rsidP="001F13A6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重点：波动率与隐含波动率、模型选择与估计法</w:t>
            </w:r>
            <w:r w:rsidR="00AB255C">
              <w:rPr>
                <w:rFonts w:ascii="PMingLiU" w:hAnsi="PMingLiU" w:hint="eastAsia"/>
                <w:sz w:val="21"/>
                <w:szCs w:val="21"/>
                <w:lang w:eastAsia="zh-CN"/>
              </w:rPr>
              <w:t>、</w:t>
            </w:r>
            <w:r w:rsidR="00AB255C"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波动率之估计与限制</w:t>
            </w:r>
          </w:p>
          <w:p w:rsidR="0036612D" w:rsidRPr="00D12618" w:rsidRDefault="0036612D" w:rsidP="00FE0F5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难点：模型选择与估计法</w:t>
            </w:r>
            <w:r w:rsidR="00AB255C">
              <w:rPr>
                <w:rFonts w:ascii="PMingLiU" w:hAnsi="PMingLiU" w:hint="eastAsia"/>
                <w:sz w:val="21"/>
                <w:szCs w:val="21"/>
                <w:lang w:eastAsia="zh-CN"/>
              </w:rPr>
              <w:t>、</w:t>
            </w:r>
            <w:r w:rsidR="00AB255C"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实际数据分析操作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6612D" w:rsidRPr="00D12618" w:rsidRDefault="0036612D" w:rsidP="005554F9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36612D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作业2波动率计算与分析</w:t>
            </w: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385E25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市场风险与模型建构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B255C" w:rsidRPr="00D12618" w:rsidRDefault="00AB255C" w:rsidP="00385E25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AB255C" w:rsidRPr="00D12618" w:rsidRDefault="00AB255C" w:rsidP="00385E25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重点：以模型建构法计算市场风险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VaR</w:t>
            </w:r>
          </w:p>
          <w:p w:rsidR="00AB255C" w:rsidRPr="00D12618" w:rsidRDefault="00AB255C" w:rsidP="00385E25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难点：期权产品、二次模型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385E25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AB255C" w:rsidRPr="00D12618" w:rsidRDefault="00AB255C" w:rsidP="006A760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48340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</w:t>
            </w:r>
            <w:r w:rsidRPr="00AB255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中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B255C" w:rsidRPr="00D12618" w:rsidRDefault="00AB255C" w:rsidP="0048340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AB255C" w:rsidRPr="00D12618" w:rsidRDefault="00AB255C" w:rsidP="0048340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CA2F6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信用风险与违约概率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重点：信用评级、违约概率之计算与比较</w:t>
            </w:r>
          </w:p>
          <w:p w:rsidR="00AB255C" w:rsidRPr="00D12618" w:rsidRDefault="00AB255C" w:rsidP="00DF6AA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难点：违约概率概率估计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AB255C" w:rsidRPr="00D12618" w:rsidRDefault="00AB255C" w:rsidP="00082BC6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信用风险与违约概率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重点：信用评级、违约概率之计算与比较</w:t>
            </w:r>
          </w:p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难点：违约概率概率估计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AB255C" w:rsidRPr="00D12618" w:rsidRDefault="00AB255C" w:rsidP="006A760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作业3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违约概率之计算与比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较</w:t>
            </w: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DD2E6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衍生性产品中的对手信用风险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AB255C" w:rsidRPr="00D12618" w:rsidRDefault="00AB255C" w:rsidP="00DD2E6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AB255C" w:rsidRPr="00D12618" w:rsidRDefault="00AB255C" w:rsidP="00DD2E6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重点：衍生性产品信用曝露风险、交易清算、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CVA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DVA</w:t>
            </w:r>
          </w:p>
          <w:p w:rsidR="00AB255C" w:rsidRPr="00D12618" w:rsidRDefault="00AB255C" w:rsidP="00DD2E6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CVA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DVA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AB255C" w:rsidRPr="00D12618" w:rsidRDefault="00AB255C" w:rsidP="00DD2E63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AB255C" w:rsidRPr="00CE1412" w:rsidRDefault="00AB255C" w:rsidP="009A0238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衍生性产品中的对手信用风险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重点：衍生性产品信用曝露风险、交易清算、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CVA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DVA</w:t>
            </w:r>
          </w:p>
          <w:p w:rsidR="00AB255C" w:rsidRPr="00D12618" w:rsidRDefault="00AB255C" w:rsidP="00AA25C3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CVA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DVA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5554F9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8F151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信用风险价值度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重点：信用评级迁移矩阵、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Vasicek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模型、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CreditMetrics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Credit risk plus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、交易帐户风险价值度</w:t>
            </w:r>
          </w:p>
          <w:p w:rsidR="00AB255C" w:rsidRPr="00D12618" w:rsidRDefault="00AB255C" w:rsidP="00CE3CB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难点：模型运算、相关性模型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相关性与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Copula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函数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重点：相关系数、多元正态、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Copula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函数</w:t>
            </w:r>
          </w:p>
          <w:p w:rsidR="00AB255C" w:rsidRPr="00D12618" w:rsidRDefault="00AB255C" w:rsidP="00CE3CB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Copula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函数运算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5554F9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312267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情境分析与压力测试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重点：压力测试、分析情境建构、变量分析</w:t>
            </w:r>
          </w:p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难点：变量选择、概率估计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操作风险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重点：操作风险分类、主要操作风险指标、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AMA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方法的实践</w:t>
            </w:r>
          </w:p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AMA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流动性风险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重点：交易流动性风险、融资流动性风险</w:t>
            </w:r>
          </w:p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难点：流动性影响风险价值度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AB255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A481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5C" w:rsidRPr="00D12618" w:rsidRDefault="00AB255C" w:rsidP="007D646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255C" w:rsidRPr="006C759E" w:rsidTr="00735FDE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255C" w:rsidRPr="006C759E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AB255C" w:rsidRPr="00D12618" w:rsidRDefault="00AB255C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实践教学进程表</w:t>
            </w:r>
          </w:p>
        </w:tc>
      </w:tr>
      <w:tr w:rsidR="00AB255C" w:rsidRPr="006C759E" w:rsidTr="00AB255C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60" w:type="dxa"/>
            <w:gridSpan w:val="3"/>
            <w:tcMar>
              <w:left w:w="28" w:type="dxa"/>
              <w:right w:w="28" w:type="dxa"/>
            </w:tcMar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项目类型（验证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  <w:p w:rsidR="00AB255C" w:rsidRPr="00D12618" w:rsidRDefault="00AB255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作业安排</w:t>
            </w:r>
          </w:p>
        </w:tc>
      </w:tr>
      <w:tr w:rsidR="00AB255C" w:rsidRPr="006C759E" w:rsidTr="00AB255C">
        <w:trPr>
          <w:trHeight w:val="340"/>
          <w:jc w:val="center"/>
        </w:trPr>
        <w:tc>
          <w:tcPr>
            <w:tcW w:w="649" w:type="dxa"/>
            <w:vAlign w:val="center"/>
          </w:tcPr>
          <w:p w:rsidR="00AB255C" w:rsidRPr="0036612D" w:rsidRDefault="00AB255C" w:rsidP="009A0238">
            <w:pPr>
              <w:jc w:val="center"/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</w:pPr>
            <w:r w:rsidRPr="00AB255C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如何管理风险暴露</w:t>
            </w:r>
          </w:p>
        </w:tc>
        <w:tc>
          <w:tcPr>
            <w:tcW w:w="623" w:type="dxa"/>
            <w:vAlign w:val="center"/>
          </w:tcPr>
          <w:p w:rsidR="00AB255C" w:rsidRPr="00D12618" w:rsidRDefault="00AB255C" w:rsidP="009A023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重点：计算常用风险衡量指标，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Delta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Gamma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Vega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Theta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Rho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Greek letters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等</w:t>
            </w:r>
          </w:p>
          <w:p w:rsidR="00AB255C" w:rsidRPr="00D12618" w:rsidRDefault="00AB255C" w:rsidP="00FE110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难点：指标使用时机与分析、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Greek letters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的计算与应用</w:t>
            </w:r>
          </w:p>
        </w:tc>
        <w:tc>
          <w:tcPr>
            <w:tcW w:w="85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 w:rsidR="00AB255C" w:rsidRPr="00D12618" w:rsidRDefault="00AB255C" w:rsidP="007D646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AB255C" w:rsidRPr="006C759E" w:rsidTr="00AB255C">
        <w:trPr>
          <w:trHeight w:val="340"/>
          <w:jc w:val="center"/>
        </w:trPr>
        <w:tc>
          <w:tcPr>
            <w:tcW w:w="649" w:type="dxa"/>
            <w:vAlign w:val="center"/>
          </w:tcPr>
          <w:p w:rsidR="00AB255C" w:rsidRPr="00D12618" w:rsidRDefault="00AB255C" w:rsidP="009A023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风险价值度</w:t>
            </w:r>
          </w:p>
        </w:tc>
        <w:tc>
          <w:tcPr>
            <w:tcW w:w="623" w:type="dxa"/>
            <w:vAlign w:val="center"/>
          </w:tcPr>
          <w:p w:rsidR="00AB255C" w:rsidRPr="00D12618" w:rsidRDefault="00AB255C" w:rsidP="009A023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 w:rsidR="00AB255C" w:rsidRPr="00D12618" w:rsidRDefault="00AB255C" w:rsidP="0036612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重点：介绍常用风险衡量指标，如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Delta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Gamma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Vega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Theta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Rho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Greek letters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等</w:t>
            </w:r>
          </w:p>
          <w:p w:rsidR="00AB255C" w:rsidRPr="00D12618" w:rsidRDefault="00AB255C" w:rsidP="0036612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难点：指标使用时机与分析、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Greek letters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的计算与应用</w:t>
            </w:r>
          </w:p>
        </w:tc>
        <w:tc>
          <w:tcPr>
            <w:tcW w:w="85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1198" w:type="dxa"/>
            <w:gridSpan w:val="2"/>
          </w:tcPr>
          <w:p w:rsidR="00AB255C" w:rsidRPr="00D12618" w:rsidRDefault="00AB255C" w:rsidP="007D646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AB255C" w:rsidRPr="00D12618" w:rsidRDefault="00AB255C" w:rsidP="00CE3CB0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风险价值度计算与分析</w:t>
            </w:r>
          </w:p>
        </w:tc>
      </w:tr>
      <w:tr w:rsidR="00AB255C" w:rsidRPr="006C759E" w:rsidTr="00AB255C">
        <w:trPr>
          <w:trHeight w:val="340"/>
          <w:jc w:val="center"/>
        </w:trPr>
        <w:tc>
          <w:tcPr>
            <w:tcW w:w="649" w:type="dxa"/>
            <w:vAlign w:val="center"/>
          </w:tcPr>
          <w:p w:rsidR="00AB255C" w:rsidRPr="00AB255C" w:rsidRDefault="00AB255C" w:rsidP="009A0238">
            <w:pPr>
              <w:jc w:val="center"/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lastRenderedPageBreak/>
              <w:t>7</w:t>
            </w:r>
          </w:p>
        </w:tc>
        <w:tc>
          <w:tcPr>
            <w:tcW w:w="1729" w:type="dxa"/>
            <w:gridSpan w:val="2"/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波动率</w:t>
            </w:r>
          </w:p>
        </w:tc>
        <w:tc>
          <w:tcPr>
            <w:tcW w:w="623" w:type="dxa"/>
            <w:vAlign w:val="center"/>
          </w:tcPr>
          <w:p w:rsidR="00AB255C" w:rsidRPr="00D12618" w:rsidRDefault="00AB255C" w:rsidP="009A023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 w:rsidR="00AB255C" w:rsidRPr="00D12618" w:rsidRDefault="00AB255C" w:rsidP="00AB255C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重点：波动率与隐含波动率、模型选择与估计法</w:t>
            </w:r>
            <w:r>
              <w:rPr>
                <w:rFonts w:ascii="PMingLiU" w:hAnsi="PMingLiU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波动率之估计与限制</w:t>
            </w:r>
          </w:p>
          <w:p w:rsidR="00AB255C" w:rsidRPr="00D12618" w:rsidRDefault="00AB255C" w:rsidP="00AB255C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难点：模型选择与估计法</w:t>
            </w:r>
            <w:r>
              <w:rPr>
                <w:rFonts w:ascii="PMingLiU" w:hAnsi="PMingLiU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实际数据分析操作</w:t>
            </w:r>
          </w:p>
        </w:tc>
        <w:tc>
          <w:tcPr>
            <w:tcW w:w="85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 w:rsidR="00AB255C" w:rsidRPr="00D12618" w:rsidRDefault="00AB255C" w:rsidP="007D646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AB255C" w:rsidRPr="00D12618" w:rsidRDefault="00AB255C" w:rsidP="00CE3CB0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波动率计算与分析</w:t>
            </w:r>
          </w:p>
        </w:tc>
      </w:tr>
      <w:tr w:rsidR="00AB255C" w:rsidRPr="006C759E" w:rsidTr="00AB255C">
        <w:trPr>
          <w:trHeight w:val="340"/>
          <w:jc w:val="center"/>
        </w:trPr>
        <w:tc>
          <w:tcPr>
            <w:tcW w:w="649" w:type="dxa"/>
            <w:vAlign w:val="center"/>
          </w:tcPr>
          <w:p w:rsidR="00AB255C" w:rsidRPr="00D12618" w:rsidRDefault="00AB255C" w:rsidP="009A023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信用风险与违约概率</w:t>
            </w:r>
          </w:p>
        </w:tc>
        <w:tc>
          <w:tcPr>
            <w:tcW w:w="623" w:type="dxa"/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 w:rsidR="00AB255C" w:rsidRPr="00D12618" w:rsidRDefault="00AB255C" w:rsidP="00FE110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重点：信用评级、违约概率之计算与比较</w:t>
            </w:r>
          </w:p>
          <w:p w:rsidR="00AB255C" w:rsidRPr="00D12618" w:rsidRDefault="00AB255C" w:rsidP="00FE110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难点：违约概率概率估计</w:t>
            </w:r>
          </w:p>
        </w:tc>
        <w:tc>
          <w:tcPr>
            <w:tcW w:w="85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 w:rsidR="00AB255C" w:rsidRPr="00D12618" w:rsidRDefault="00AB255C" w:rsidP="007D646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AB255C" w:rsidRPr="00D12618" w:rsidRDefault="00AB255C" w:rsidP="00CE3CB0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3违约概率之计算与比较</w:t>
            </w:r>
          </w:p>
        </w:tc>
      </w:tr>
      <w:tr w:rsidR="00AB255C" w:rsidRPr="006C759E" w:rsidTr="00AB255C">
        <w:trPr>
          <w:trHeight w:val="340"/>
          <w:jc w:val="center"/>
        </w:trPr>
        <w:tc>
          <w:tcPr>
            <w:tcW w:w="649" w:type="dxa"/>
            <w:vAlign w:val="center"/>
          </w:tcPr>
          <w:p w:rsidR="00AB255C" w:rsidRPr="00D12618" w:rsidRDefault="00AB255C" w:rsidP="0047618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</w:tcPr>
          <w:p w:rsidR="00AB255C" w:rsidRPr="00D12618" w:rsidRDefault="00AB255C" w:rsidP="00BE4FDE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信用风险价值度</w:t>
            </w:r>
          </w:p>
        </w:tc>
        <w:tc>
          <w:tcPr>
            <w:tcW w:w="623" w:type="dxa"/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 w:rsidR="00AB255C" w:rsidRPr="00D12618" w:rsidRDefault="00AB255C" w:rsidP="00CE3CB0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重点：信用评级迁移矩阵、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Vasicek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模型、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CreditMetrics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Credit risk plus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、交易帐户风险价值度</w:t>
            </w:r>
          </w:p>
          <w:p w:rsidR="00AB255C" w:rsidRPr="00D12618" w:rsidRDefault="00AB255C" w:rsidP="00CE3CB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难点：模型运算、相关性模型</w:t>
            </w:r>
          </w:p>
        </w:tc>
        <w:tc>
          <w:tcPr>
            <w:tcW w:w="85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 w:rsidR="00AB255C" w:rsidRPr="00D12618" w:rsidRDefault="00AB255C" w:rsidP="007D646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</w:tr>
      <w:tr w:rsidR="00AB255C" w:rsidRPr="006C759E" w:rsidTr="00AB255C">
        <w:trPr>
          <w:trHeight w:val="340"/>
          <w:jc w:val="center"/>
        </w:trPr>
        <w:tc>
          <w:tcPr>
            <w:tcW w:w="649" w:type="dxa"/>
            <w:vAlign w:val="center"/>
          </w:tcPr>
          <w:p w:rsidR="00AB255C" w:rsidRPr="00D12618" w:rsidRDefault="00AB255C" w:rsidP="009A023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9" w:type="dxa"/>
            <w:gridSpan w:val="2"/>
          </w:tcPr>
          <w:p w:rsidR="00AB255C" w:rsidRPr="00D12618" w:rsidRDefault="00AB255C" w:rsidP="009A0238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流动性风险</w:t>
            </w:r>
          </w:p>
        </w:tc>
        <w:tc>
          <w:tcPr>
            <w:tcW w:w="623" w:type="dxa"/>
            <w:vAlign w:val="center"/>
          </w:tcPr>
          <w:p w:rsidR="00AB255C" w:rsidRPr="00D12618" w:rsidRDefault="00AB255C" w:rsidP="007D64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0" w:type="dxa"/>
            <w:gridSpan w:val="3"/>
          </w:tcPr>
          <w:p w:rsidR="00AB255C" w:rsidRPr="00D12618" w:rsidRDefault="00AB255C" w:rsidP="00B15BD6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重点：交易流动性风险、融资流动性风险</w:t>
            </w:r>
          </w:p>
          <w:p w:rsidR="00AB255C" w:rsidRPr="00D12618" w:rsidRDefault="00AB255C" w:rsidP="00B15BD6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难点：流动性影响风险价值度</w:t>
            </w:r>
          </w:p>
        </w:tc>
        <w:tc>
          <w:tcPr>
            <w:tcW w:w="85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</w:tcPr>
          <w:p w:rsidR="00AB255C" w:rsidRPr="00D12618" w:rsidRDefault="00AB255C" w:rsidP="009A023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</w:tr>
      <w:tr w:rsidR="00AB255C" w:rsidRPr="006C759E" w:rsidTr="00AB255C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AB255C" w:rsidRPr="00D12618" w:rsidRDefault="00AB255C" w:rsidP="002E27E1">
            <w:pPr>
              <w:spacing w:after="0"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126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AB255C" w:rsidRPr="00D12618" w:rsidRDefault="00AB255C" w:rsidP="005554F9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D126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260" w:type="dxa"/>
            <w:gridSpan w:val="3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AB255C" w:rsidRPr="00D12618" w:rsidRDefault="00AB255C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255C" w:rsidRPr="006C759E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AB255C" w:rsidRPr="006C759E" w:rsidRDefault="00AB255C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eastAsiaTheme="minorEastAsia"/>
                <w:szCs w:val="21"/>
                <w:lang w:eastAsia="zh-CN"/>
              </w:rPr>
            </w:pPr>
            <w:r w:rsidRPr="006C759E">
              <w:rPr>
                <w:rFonts w:eastAsiaTheme="minorEastAsia" w:hint="eastAsia"/>
                <w:szCs w:val="21"/>
                <w:lang w:eastAsia="zh-CN"/>
              </w:rPr>
              <w:t>成绩评定方法及标准</w:t>
            </w:r>
          </w:p>
        </w:tc>
      </w:tr>
      <w:tr w:rsidR="00AB255C" w:rsidRPr="006C759E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B255C" w:rsidRPr="006C759E" w:rsidRDefault="00AB255C" w:rsidP="002E27E1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</w:rPr>
            </w:pPr>
            <w:r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 w:rsidR="00AB255C" w:rsidRPr="006C759E" w:rsidRDefault="00AB255C" w:rsidP="002E27E1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 w:rsidR="00AB255C" w:rsidRPr="006C759E" w:rsidRDefault="00AB255C" w:rsidP="002E27E1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权重</w:t>
            </w:r>
          </w:p>
        </w:tc>
      </w:tr>
      <w:tr w:rsidR="00AB255C" w:rsidRPr="006C759E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B255C" w:rsidRPr="00F07DF5" w:rsidRDefault="00AB255C" w:rsidP="007D6462">
            <w:pPr>
              <w:snapToGrid w:val="0"/>
              <w:rPr>
                <w:rFonts w:ascii="宋体" w:hAnsi="宋体"/>
                <w:sz w:val="18"/>
                <w:szCs w:val="18"/>
              </w:rPr>
            </w:pP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到堂情况</w:t>
            </w:r>
          </w:p>
        </w:tc>
        <w:tc>
          <w:tcPr>
            <w:tcW w:w="5811" w:type="dxa"/>
            <w:gridSpan w:val="7"/>
            <w:vAlign w:val="center"/>
          </w:tcPr>
          <w:p w:rsidR="00AB255C" w:rsidRPr="00F07DF5" w:rsidRDefault="00AB255C" w:rsidP="007D6462">
            <w:pPr>
              <w:snapToGrid w:val="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不迟到、不早退、不旷课</w:t>
            </w:r>
          </w:p>
        </w:tc>
        <w:tc>
          <w:tcPr>
            <w:tcW w:w="1581" w:type="dxa"/>
            <w:gridSpan w:val="2"/>
            <w:vAlign w:val="center"/>
          </w:tcPr>
          <w:p w:rsidR="00AB255C" w:rsidRPr="00F07DF5" w:rsidRDefault="00AB255C" w:rsidP="002F0BB7">
            <w:pPr>
              <w:snapToGrid w:val="0"/>
              <w:ind w:left="180"/>
              <w:jc w:val="center"/>
              <w:rPr>
                <w:rFonts w:ascii="宋体" w:hAnsi="宋体"/>
                <w:sz w:val="18"/>
                <w:szCs w:val="18"/>
                <w:lang w:eastAsia="zh-TW"/>
              </w:rPr>
            </w:pPr>
            <w:r w:rsidRPr="00934268">
              <w:rPr>
                <w:rFonts w:ascii="宋体" w:eastAsia="宋体" w:hAnsi="宋体"/>
                <w:sz w:val="18"/>
                <w:szCs w:val="18"/>
                <w:lang w:eastAsia="zh-CN"/>
              </w:rPr>
              <w:t>0.1</w:t>
            </w:r>
          </w:p>
        </w:tc>
      </w:tr>
      <w:tr w:rsidR="00AB255C" w:rsidRPr="006C759E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B255C" w:rsidRPr="00AB255C" w:rsidRDefault="00AB255C" w:rsidP="007D6462">
            <w:pPr>
              <w:snapToGrid w:val="0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平时作业</w:t>
            </w:r>
          </w:p>
        </w:tc>
        <w:tc>
          <w:tcPr>
            <w:tcW w:w="5811" w:type="dxa"/>
            <w:gridSpan w:val="7"/>
            <w:vAlign w:val="center"/>
          </w:tcPr>
          <w:p w:rsidR="00AB255C" w:rsidRPr="00F07DF5" w:rsidRDefault="00AB255C" w:rsidP="007D6462">
            <w:pPr>
              <w:snapToGrid w:val="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 w:rsidR="00AB255C" w:rsidRPr="00F07DF5" w:rsidRDefault="00AB255C" w:rsidP="002F0BB7">
            <w:pPr>
              <w:snapToGrid w:val="0"/>
              <w:ind w:left="180"/>
              <w:jc w:val="center"/>
              <w:rPr>
                <w:rFonts w:ascii="宋体" w:hAnsi="宋体"/>
                <w:sz w:val="18"/>
                <w:szCs w:val="18"/>
                <w:lang w:eastAsia="zh-TW"/>
              </w:rPr>
            </w:pPr>
            <w:r w:rsidRPr="00934268">
              <w:rPr>
                <w:rFonts w:ascii="宋体" w:eastAsia="宋体" w:hAnsi="宋体"/>
                <w:sz w:val="18"/>
                <w:szCs w:val="18"/>
                <w:lang w:eastAsia="zh-CN"/>
              </w:rPr>
              <w:t>0.3</w:t>
            </w: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B255C" w:rsidRPr="00AB255C" w:rsidRDefault="00AB255C" w:rsidP="00CE1412">
            <w:pPr>
              <w:snapToGrid w:val="0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期中</w:t>
            </w: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考试</w:t>
            </w:r>
            <w:r w:rsidRPr="00934268">
              <w:rPr>
                <w:rFonts w:ascii="宋体" w:eastAsia="宋体" w:hAnsi="宋体"/>
                <w:sz w:val="18"/>
                <w:szCs w:val="18"/>
                <w:lang w:eastAsia="zh-CN"/>
              </w:rPr>
              <w:t>(</w:t>
            </w:r>
            <w:r w:rsidRPr="00AB255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开卷</w:t>
            </w:r>
            <w:r w:rsidRPr="00934268">
              <w:rPr>
                <w:rFonts w:ascii="宋体" w:eastAsia="宋体" w:hAnsi="宋体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811" w:type="dxa"/>
            <w:gridSpan w:val="7"/>
          </w:tcPr>
          <w:p w:rsidR="00AB255C" w:rsidRPr="00F07DF5" w:rsidRDefault="00AB255C" w:rsidP="007D6462">
            <w:pPr>
              <w:snapToGrid w:val="0"/>
              <w:jc w:val="left"/>
              <w:rPr>
                <w:rFonts w:ascii="宋体" w:hAnsi="宋体"/>
                <w:sz w:val="18"/>
                <w:szCs w:val="18"/>
                <w:lang w:eastAsia="zh-CN"/>
              </w:rPr>
            </w:pP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 w:rsidR="00AB255C" w:rsidRPr="00F07DF5" w:rsidRDefault="00AB255C" w:rsidP="007D6462">
            <w:pPr>
              <w:snapToGrid w:val="0"/>
              <w:ind w:left="180"/>
              <w:jc w:val="center"/>
              <w:rPr>
                <w:rFonts w:ascii="宋体" w:hAnsi="宋体"/>
                <w:sz w:val="18"/>
                <w:szCs w:val="18"/>
                <w:lang w:eastAsia="zh-TW"/>
              </w:rPr>
            </w:pPr>
            <w:r w:rsidRPr="00934268">
              <w:rPr>
                <w:rFonts w:ascii="宋体" w:eastAsia="宋体" w:hAnsi="宋体"/>
                <w:sz w:val="18"/>
                <w:szCs w:val="18"/>
                <w:lang w:eastAsia="zh-CN"/>
              </w:rPr>
              <w:t>0.3</w:t>
            </w:r>
          </w:p>
        </w:tc>
      </w:tr>
      <w:tr w:rsidR="00AB255C" w:rsidRPr="006C759E" w:rsidTr="007D6462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B255C" w:rsidRPr="00AB255C" w:rsidRDefault="00AB255C" w:rsidP="007D6462">
            <w:pPr>
              <w:snapToGrid w:val="0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期末考试</w:t>
            </w:r>
            <w:r w:rsidRPr="00934268">
              <w:rPr>
                <w:rFonts w:ascii="宋体" w:eastAsia="宋体" w:hAnsi="宋体"/>
                <w:sz w:val="18"/>
                <w:szCs w:val="18"/>
                <w:lang w:eastAsia="zh-CN"/>
              </w:rPr>
              <w:t>(</w:t>
            </w:r>
            <w:r w:rsidRPr="00AB255C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开卷</w:t>
            </w:r>
            <w:r w:rsidRPr="00934268">
              <w:rPr>
                <w:rFonts w:ascii="宋体" w:eastAsia="宋体" w:hAnsi="宋体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811" w:type="dxa"/>
            <w:gridSpan w:val="7"/>
          </w:tcPr>
          <w:p w:rsidR="00AB255C" w:rsidRPr="00F07DF5" w:rsidRDefault="00AB255C" w:rsidP="007D6462">
            <w:pPr>
              <w:snapToGrid w:val="0"/>
              <w:jc w:val="left"/>
              <w:rPr>
                <w:rFonts w:ascii="宋体" w:hAnsi="宋体"/>
                <w:sz w:val="18"/>
                <w:szCs w:val="18"/>
                <w:lang w:eastAsia="zh-CN"/>
              </w:rPr>
            </w:pPr>
            <w:r w:rsidRPr="00934268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 w:rsidR="00AB255C" w:rsidRPr="00F07DF5" w:rsidRDefault="00AB255C" w:rsidP="007D6462">
            <w:pPr>
              <w:snapToGrid w:val="0"/>
              <w:ind w:left="180"/>
              <w:jc w:val="center"/>
              <w:rPr>
                <w:rFonts w:ascii="宋体" w:hAnsi="宋体"/>
                <w:sz w:val="18"/>
                <w:szCs w:val="18"/>
                <w:lang w:eastAsia="zh-TW"/>
              </w:rPr>
            </w:pPr>
            <w:r w:rsidRPr="00934268">
              <w:rPr>
                <w:rFonts w:ascii="宋体" w:eastAsia="宋体" w:hAnsi="宋体"/>
                <w:sz w:val="18"/>
                <w:szCs w:val="18"/>
                <w:lang w:eastAsia="zh-CN"/>
              </w:rPr>
              <w:t>0.3</w:t>
            </w:r>
          </w:p>
        </w:tc>
      </w:tr>
      <w:tr w:rsidR="00AB255C" w:rsidRPr="006C759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AB255C" w:rsidRPr="002B642F" w:rsidRDefault="00AB255C" w:rsidP="002B642F">
            <w:pPr>
              <w:snapToGrid w:val="0"/>
              <w:spacing w:after="0" w:line="0" w:lineRule="atLeast"/>
              <w:ind w:left="180"/>
              <w:rPr>
                <w:rFonts w:hint="eastAsia"/>
                <w:sz w:val="21"/>
                <w:szCs w:val="21"/>
                <w:lang w:eastAsia="zh-TW"/>
              </w:rPr>
            </w:pPr>
            <w:r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大纲编写时间：</w:t>
            </w:r>
            <w:r w:rsidRPr="006C759E">
              <w:rPr>
                <w:rFonts w:eastAsiaTheme="minorEastAsia"/>
                <w:sz w:val="21"/>
                <w:szCs w:val="21"/>
                <w:lang w:eastAsia="zh-CN"/>
              </w:rPr>
              <w:t>201</w:t>
            </w:r>
            <w:r w:rsidRPr="00934268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Pr="006C759E">
              <w:rPr>
                <w:rFonts w:eastAsiaTheme="minorEastAsia"/>
                <w:sz w:val="21"/>
                <w:szCs w:val="21"/>
                <w:lang w:eastAsia="zh-CN"/>
              </w:rPr>
              <w:t>-0</w:t>
            </w:r>
            <w:r w:rsidR="002B642F">
              <w:rPr>
                <w:rFonts w:hint="eastAsia"/>
                <w:sz w:val="21"/>
                <w:szCs w:val="21"/>
                <w:lang w:eastAsia="zh-TW"/>
              </w:rPr>
              <w:t>9</w:t>
            </w:r>
            <w:r w:rsidRPr="006C759E"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 w:rsidR="002B642F">
              <w:rPr>
                <w:rFonts w:hint="eastAsia"/>
                <w:sz w:val="21"/>
                <w:szCs w:val="21"/>
                <w:lang w:eastAsia="zh-TW"/>
              </w:rPr>
              <w:t>18</w:t>
            </w:r>
          </w:p>
        </w:tc>
      </w:tr>
      <w:tr w:rsidR="00AB255C" w:rsidRPr="006C759E" w:rsidTr="00D63043">
        <w:trPr>
          <w:trHeight w:val="1447"/>
          <w:jc w:val="center"/>
        </w:trPr>
        <w:tc>
          <w:tcPr>
            <w:tcW w:w="9401" w:type="dxa"/>
            <w:gridSpan w:val="11"/>
          </w:tcPr>
          <w:p w:rsidR="002B642F" w:rsidRDefault="002B642F" w:rsidP="002B642F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C645C5" w:rsidRDefault="00C645C5" w:rsidP="00C645C5">
            <w:pPr>
              <w:spacing w:after="0" w:line="0" w:lineRule="atLeast"/>
              <w:ind w:firstLineChars="227" w:firstLine="477"/>
              <w:jc w:val="left"/>
              <w:rPr>
                <w:rFonts w:hint="eastAsia"/>
                <w:sz w:val="21"/>
                <w:szCs w:val="21"/>
                <w:lang w:eastAsia="zh-TW"/>
              </w:rPr>
            </w:pPr>
          </w:p>
          <w:p w:rsidR="002B642F" w:rsidRDefault="00C645C5" w:rsidP="00C645C5">
            <w:pPr>
              <w:spacing w:after="0" w:line="0" w:lineRule="atLeast"/>
              <w:ind w:firstLineChars="227" w:firstLine="47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6C759E">
              <w:rPr>
                <w:rFonts w:eastAsiaTheme="minorEastAsia" w:hint="eastAsia"/>
                <w:sz w:val="21"/>
                <w:szCs w:val="21"/>
                <w:lang w:eastAsia="zh-CN"/>
              </w:rPr>
              <w:t>我系（专业）已对本课程教学大纲进行了审查，同意执行</w:t>
            </w:r>
          </w:p>
          <w:p w:rsidR="002B642F" w:rsidRDefault="002B642F" w:rsidP="002B642F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 w:rsidR="00AB255C" w:rsidRPr="006C759E" w:rsidRDefault="00AB255C" w:rsidP="00D63043">
            <w:pPr>
              <w:spacing w:after="0" w:line="0" w:lineRule="atLeas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3044FA" w:rsidRPr="006C759E" w:rsidRDefault="00A51DF0" w:rsidP="006C759E">
      <w:pPr>
        <w:ind w:left="735" w:hangingChars="350" w:hanging="735"/>
        <w:rPr>
          <w:rFonts w:eastAsiaTheme="minorEastAsia"/>
          <w:sz w:val="21"/>
          <w:szCs w:val="21"/>
          <w:lang w:eastAsia="zh-CN"/>
        </w:rPr>
      </w:pPr>
      <w:r w:rsidRPr="006C759E">
        <w:rPr>
          <w:rFonts w:eastAsiaTheme="minorEastAsia" w:hint="eastAsia"/>
          <w:bCs/>
          <w:sz w:val="21"/>
          <w:szCs w:val="21"/>
          <w:lang w:eastAsia="zh-CN"/>
        </w:rPr>
        <w:t>注：</w:t>
      </w:r>
      <w:r w:rsidRPr="006C759E">
        <w:rPr>
          <w:rFonts w:eastAsiaTheme="minorEastAsia"/>
          <w:bCs/>
          <w:sz w:val="21"/>
          <w:szCs w:val="21"/>
          <w:lang w:eastAsia="zh-CN"/>
        </w:rPr>
        <w:t>1</w:t>
      </w:r>
      <w:r w:rsidRPr="006C759E">
        <w:rPr>
          <w:rFonts w:eastAsiaTheme="minorEastAsia" w:hint="eastAsia"/>
          <w:bCs/>
          <w:sz w:val="21"/>
          <w:szCs w:val="21"/>
          <w:lang w:eastAsia="zh-CN"/>
        </w:rPr>
        <w:t>、课程</w:t>
      </w:r>
      <w:r w:rsidRPr="006C759E">
        <w:rPr>
          <w:rFonts w:eastAsiaTheme="minorEastAsia" w:hint="eastAsia"/>
          <w:sz w:val="21"/>
          <w:szCs w:val="21"/>
          <w:lang w:eastAsia="zh-CN"/>
        </w:rPr>
        <w:t>教学目标：请精炼概括</w:t>
      </w:r>
      <w:r w:rsidRPr="006C759E">
        <w:rPr>
          <w:rFonts w:eastAsiaTheme="minorEastAsia"/>
          <w:sz w:val="21"/>
          <w:szCs w:val="21"/>
          <w:lang w:eastAsia="zh-CN"/>
        </w:rPr>
        <w:t>3-5</w:t>
      </w:r>
      <w:r w:rsidRPr="006C759E">
        <w:rPr>
          <w:rFonts w:eastAsiaTheme="minorEastAsia" w:hint="eastAsia"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917C66" w:rsidRPr="006C759E" w:rsidRDefault="00A51DF0" w:rsidP="006C759E">
      <w:pPr>
        <w:ind w:left="735" w:hangingChars="350" w:hanging="735"/>
        <w:rPr>
          <w:rFonts w:eastAsiaTheme="minorEastAsia"/>
          <w:sz w:val="21"/>
          <w:szCs w:val="21"/>
          <w:lang w:eastAsia="zh-CN"/>
        </w:rPr>
      </w:pPr>
      <w:r w:rsidRPr="006C759E">
        <w:rPr>
          <w:rFonts w:eastAsiaTheme="minorEastAsia"/>
          <w:sz w:val="21"/>
          <w:szCs w:val="21"/>
          <w:lang w:eastAsia="zh-CN"/>
        </w:rPr>
        <w:t xml:space="preserve">    2</w:t>
      </w:r>
      <w:r w:rsidRPr="006C759E">
        <w:rPr>
          <w:rFonts w:eastAsiaTheme="minorEastAsia" w:hint="eastAsia"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6C759E">
        <w:rPr>
          <w:rFonts w:eastAsiaTheme="minorEastAsia"/>
          <w:sz w:val="21"/>
          <w:szCs w:val="21"/>
          <w:lang w:eastAsia="zh-CN"/>
        </w:rPr>
        <w:t>http://jwc.dgut.edu.cn/</w:t>
      </w:r>
      <w:r w:rsidRPr="006C759E">
        <w:rPr>
          <w:rFonts w:eastAsiaTheme="minorEastAsia" w:hint="eastAsia"/>
          <w:sz w:val="21"/>
          <w:szCs w:val="21"/>
          <w:lang w:eastAsia="zh-CN"/>
        </w:rPr>
        <w:t>）</w:t>
      </w:r>
    </w:p>
    <w:p w:rsidR="00917C66" w:rsidRPr="006C759E" w:rsidRDefault="00A51DF0" w:rsidP="006C759E">
      <w:pPr>
        <w:ind w:left="735" w:hangingChars="350" w:hanging="735"/>
        <w:rPr>
          <w:rFonts w:eastAsiaTheme="minorEastAsia"/>
          <w:sz w:val="21"/>
          <w:szCs w:val="21"/>
          <w:lang w:eastAsia="zh-CN"/>
        </w:rPr>
      </w:pPr>
      <w:r w:rsidRPr="006C759E">
        <w:rPr>
          <w:rFonts w:eastAsiaTheme="minorEastAsia"/>
          <w:sz w:val="21"/>
          <w:szCs w:val="21"/>
          <w:lang w:eastAsia="zh-CN"/>
        </w:rPr>
        <w:t xml:space="preserve">    3</w:t>
      </w:r>
      <w:r w:rsidRPr="006C759E">
        <w:rPr>
          <w:rFonts w:eastAsiaTheme="minorEastAsia" w:hint="eastAsia"/>
          <w:sz w:val="21"/>
          <w:szCs w:val="21"/>
          <w:lang w:eastAsia="zh-CN"/>
        </w:rPr>
        <w:t>、教学方式可选：课堂讲授</w:t>
      </w:r>
      <w:r w:rsidRPr="006C759E">
        <w:rPr>
          <w:rFonts w:eastAsiaTheme="minorEastAsia"/>
          <w:sz w:val="21"/>
          <w:szCs w:val="21"/>
          <w:lang w:eastAsia="zh-CN"/>
        </w:rPr>
        <w:t>/</w:t>
      </w:r>
      <w:r w:rsidRPr="006C759E">
        <w:rPr>
          <w:rFonts w:eastAsiaTheme="minorEastAsia" w:hint="eastAsia"/>
          <w:sz w:val="21"/>
          <w:szCs w:val="21"/>
          <w:lang w:eastAsia="zh-CN"/>
        </w:rPr>
        <w:t>小组讨论</w:t>
      </w:r>
      <w:r w:rsidRPr="006C759E">
        <w:rPr>
          <w:rFonts w:eastAsiaTheme="minorEastAsia"/>
          <w:sz w:val="21"/>
          <w:szCs w:val="21"/>
          <w:lang w:eastAsia="zh-CN"/>
        </w:rPr>
        <w:t>/</w:t>
      </w:r>
      <w:r w:rsidRPr="006C759E">
        <w:rPr>
          <w:rFonts w:eastAsiaTheme="minorEastAsia" w:hint="eastAsia"/>
          <w:sz w:val="21"/>
          <w:szCs w:val="21"/>
          <w:lang w:eastAsia="zh-CN"/>
        </w:rPr>
        <w:t>实验</w:t>
      </w:r>
      <w:r w:rsidRPr="006C759E">
        <w:rPr>
          <w:rFonts w:eastAsiaTheme="minorEastAsia"/>
          <w:sz w:val="21"/>
          <w:szCs w:val="21"/>
          <w:lang w:eastAsia="zh-CN"/>
        </w:rPr>
        <w:t>/</w:t>
      </w:r>
      <w:r w:rsidRPr="006C759E">
        <w:rPr>
          <w:rFonts w:eastAsiaTheme="minorEastAsia" w:hint="eastAsia"/>
          <w:sz w:val="21"/>
          <w:szCs w:val="21"/>
          <w:lang w:eastAsia="zh-CN"/>
        </w:rPr>
        <w:t>实训</w:t>
      </w:r>
    </w:p>
    <w:p w:rsidR="00785779" w:rsidRPr="006C759E" w:rsidRDefault="00A51DF0" w:rsidP="002E27E1">
      <w:pPr>
        <w:rPr>
          <w:rFonts w:eastAsiaTheme="minorEastAsia"/>
          <w:sz w:val="21"/>
          <w:szCs w:val="21"/>
          <w:lang w:eastAsia="zh-CN"/>
        </w:rPr>
      </w:pPr>
      <w:r w:rsidRPr="006C759E">
        <w:rPr>
          <w:rFonts w:eastAsiaTheme="minorEastAsia"/>
          <w:sz w:val="21"/>
          <w:szCs w:val="21"/>
          <w:lang w:eastAsia="zh-CN"/>
        </w:rPr>
        <w:t xml:space="preserve">    4</w:t>
      </w:r>
      <w:r w:rsidRPr="006C759E">
        <w:rPr>
          <w:rFonts w:eastAsiaTheme="minorEastAsia" w:hint="eastAsia"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785779" w:rsidRPr="006C759E" w:rsidSect="002E27E1">
      <w:footerReference w:type="default" r:id="rId10"/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07" w:rsidRDefault="008D0607" w:rsidP="00896971">
      <w:pPr>
        <w:spacing w:after="0"/>
      </w:pPr>
      <w:r>
        <w:separator/>
      </w:r>
    </w:p>
  </w:endnote>
  <w:endnote w:type="continuationSeparator" w:id="0">
    <w:p w:rsidR="008D0607" w:rsidRDefault="008D0607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313"/>
      <w:docPartObj>
        <w:docPartGallery w:val="Page Numbers (Bottom of Page)"/>
        <w:docPartUnique/>
      </w:docPartObj>
    </w:sdtPr>
    <w:sdtEndPr/>
    <w:sdtContent>
      <w:p w:rsidR="00BF47B5" w:rsidRDefault="00430C30">
        <w:pPr>
          <w:pStyle w:val="a6"/>
          <w:jc w:val="center"/>
        </w:pPr>
        <w:r>
          <w:fldChar w:fldCharType="begin"/>
        </w:r>
        <w:r w:rsidR="005B1D43">
          <w:instrText xml:space="preserve"> PAGE   \* MERGEFORMAT </w:instrText>
        </w:r>
        <w:r>
          <w:fldChar w:fldCharType="separate"/>
        </w:r>
        <w:r w:rsidR="003F716D" w:rsidRPr="003F716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BF47B5" w:rsidRDefault="00BF47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07" w:rsidRDefault="008D0607" w:rsidP="00896971">
      <w:pPr>
        <w:spacing w:after="0"/>
      </w:pPr>
      <w:r>
        <w:separator/>
      </w:r>
    </w:p>
  </w:footnote>
  <w:footnote w:type="continuationSeparator" w:id="0">
    <w:p w:rsidR="008D0607" w:rsidRDefault="008D060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823DAC"/>
    <w:multiLevelType w:val="hybridMultilevel"/>
    <w:tmpl w:val="B428F824"/>
    <w:lvl w:ilvl="0" w:tplc="9790FBEA">
      <w:start w:val="1"/>
      <w:numFmt w:val="decimal"/>
      <w:lvlText w:val="%1."/>
      <w:lvlJc w:val="left"/>
      <w:pPr>
        <w:ind w:left="78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>
    <w:nsid w:val="58475C39"/>
    <w:multiLevelType w:val="singleLevel"/>
    <w:tmpl w:val="58475C39"/>
    <w:lvl w:ilvl="0">
      <w:start w:val="1"/>
      <w:numFmt w:val="decimal"/>
      <w:suff w:val="nothing"/>
      <w:lvlText w:val="%1."/>
      <w:lvlJc w:val="left"/>
    </w:lvl>
  </w:abstractNum>
  <w:abstractNum w:abstractNumId="4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2F6D"/>
    <w:rsid w:val="00010F5C"/>
    <w:rsid w:val="00045D92"/>
    <w:rsid w:val="00065CC8"/>
    <w:rsid w:val="0006698D"/>
    <w:rsid w:val="00071662"/>
    <w:rsid w:val="000764DB"/>
    <w:rsid w:val="00082BC6"/>
    <w:rsid w:val="00087B74"/>
    <w:rsid w:val="000B626E"/>
    <w:rsid w:val="000E0AE8"/>
    <w:rsid w:val="000E445B"/>
    <w:rsid w:val="00114239"/>
    <w:rsid w:val="00147D7B"/>
    <w:rsid w:val="00155E5A"/>
    <w:rsid w:val="0016283B"/>
    <w:rsid w:val="00171228"/>
    <w:rsid w:val="0017625B"/>
    <w:rsid w:val="0019144C"/>
    <w:rsid w:val="001B31E9"/>
    <w:rsid w:val="001D1498"/>
    <w:rsid w:val="001D28E8"/>
    <w:rsid w:val="001F13A6"/>
    <w:rsid w:val="001F20BC"/>
    <w:rsid w:val="00227119"/>
    <w:rsid w:val="00243979"/>
    <w:rsid w:val="00297F08"/>
    <w:rsid w:val="002A4810"/>
    <w:rsid w:val="002B0E43"/>
    <w:rsid w:val="002B642F"/>
    <w:rsid w:val="002E13FC"/>
    <w:rsid w:val="002E27E1"/>
    <w:rsid w:val="002F0BB7"/>
    <w:rsid w:val="002F5263"/>
    <w:rsid w:val="00302F40"/>
    <w:rsid w:val="003036F3"/>
    <w:rsid w:val="003044FA"/>
    <w:rsid w:val="00312267"/>
    <w:rsid w:val="00337A99"/>
    <w:rsid w:val="0036063C"/>
    <w:rsid w:val="0036612D"/>
    <w:rsid w:val="0037561C"/>
    <w:rsid w:val="003C66D8"/>
    <w:rsid w:val="003E66A6"/>
    <w:rsid w:val="003F716D"/>
    <w:rsid w:val="00430C30"/>
    <w:rsid w:val="00433A5B"/>
    <w:rsid w:val="00457E42"/>
    <w:rsid w:val="00464F0F"/>
    <w:rsid w:val="00476184"/>
    <w:rsid w:val="0047658C"/>
    <w:rsid w:val="00497F95"/>
    <w:rsid w:val="004B3994"/>
    <w:rsid w:val="004E0481"/>
    <w:rsid w:val="004E7804"/>
    <w:rsid w:val="00547D6C"/>
    <w:rsid w:val="00552DB5"/>
    <w:rsid w:val="005554F9"/>
    <w:rsid w:val="005639AB"/>
    <w:rsid w:val="00567504"/>
    <w:rsid w:val="0057538A"/>
    <w:rsid w:val="00596804"/>
    <w:rsid w:val="005A03F4"/>
    <w:rsid w:val="005A6188"/>
    <w:rsid w:val="005B1D43"/>
    <w:rsid w:val="005C5EE5"/>
    <w:rsid w:val="005E0E9A"/>
    <w:rsid w:val="005F174F"/>
    <w:rsid w:val="006026E2"/>
    <w:rsid w:val="006111D6"/>
    <w:rsid w:val="00614C7D"/>
    <w:rsid w:val="00652EFE"/>
    <w:rsid w:val="0065651C"/>
    <w:rsid w:val="006A43FD"/>
    <w:rsid w:val="006A60D1"/>
    <w:rsid w:val="006A760D"/>
    <w:rsid w:val="006C3BA7"/>
    <w:rsid w:val="006C759E"/>
    <w:rsid w:val="006D3634"/>
    <w:rsid w:val="006E7FB2"/>
    <w:rsid w:val="00727D11"/>
    <w:rsid w:val="007351CB"/>
    <w:rsid w:val="00735FDE"/>
    <w:rsid w:val="00770F0D"/>
    <w:rsid w:val="00776AF2"/>
    <w:rsid w:val="00785779"/>
    <w:rsid w:val="007B6499"/>
    <w:rsid w:val="007D6462"/>
    <w:rsid w:val="0080225A"/>
    <w:rsid w:val="008147FF"/>
    <w:rsid w:val="00815F78"/>
    <w:rsid w:val="008224E7"/>
    <w:rsid w:val="00837AF3"/>
    <w:rsid w:val="008512DF"/>
    <w:rsid w:val="00851B7C"/>
    <w:rsid w:val="00855020"/>
    <w:rsid w:val="00860DC8"/>
    <w:rsid w:val="00871D43"/>
    <w:rsid w:val="00883663"/>
    <w:rsid w:val="00885EED"/>
    <w:rsid w:val="00892ADC"/>
    <w:rsid w:val="00896971"/>
    <w:rsid w:val="008A58C5"/>
    <w:rsid w:val="008D0607"/>
    <w:rsid w:val="008F151D"/>
    <w:rsid w:val="008F2AA2"/>
    <w:rsid w:val="0090681F"/>
    <w:rsid w:val="00917C66"/>
    <w:rsid w:val="00934268"/>
    <w:rsid w:val="009A2B5C"/>
    <w:rsid w:val="009B3EAE"/>
    <w:rsid w:val="009B5333"/>
    <w:rsid w:val="009B5723"/>
    <w:rsid w:val="009C62FB"/>
    <w:rsid w:val="009D3079"/>
    <w:rsid w:val="009E12C6"/>
    <w:rsid w:val="009E29E2"/>
    <w:rsid w:val="00A26A3F"/>
    <w:rsid w:val="00A35D7E"/>
    <w:rsid w:val="00A51DF0"/>
    <w:rsid w:val="00A75A06"/>
    <w:rsid w:val="00A84D68"/>
    <w:rsid w:val="00A85774"/>
    <w:rsid w:val="00AA199F"/>
    <w:rsid w:val="00AA25C3"/>
    <w:rsid w:val="00AB255C"/>
    <w:rsid w:val="00AE22E5"/>
    <w:rsid w:val="00AE3FB4"/>
    <w:rsid w:val="00AE48DD"/>
    <w:rsid w:val="00B01945"/>
    <w:rsid w:val="00B044B8"/>
    <w:rsid w:val="00B136C5"/>
    <w:rsid w:val="00B15BD6"/>
    <w:rsid w:val="00B34798"/>
    <w:rsid w:val="00B41ABD"/>
    <w:rsid w:val="00B41DEC"/>
    <w:rsid w:val="00B769B1"/>
    <w:rsid w:val="00B81CE3"/>
    <w:rsid w:val="00BB03AE"/>
    <w:rsid w:val="00BB35F5"/>
    <w:rsid w:val="00BB3963"/>
    <w:rsid w:val="00BC5E15"/>
    <w:rsid w:val="00BE3BD7"/>
    <w:rsid w:val="00BE4FDE"/>
    <w:rsid w:val="00BF47B5"/>
    <w:rsid w:val="00C41D05"/>
    <w:rsid w:val="00C55197"/>
    <w:rsid w:val="00C645C5"/>
    <w:rsid w:val="00C705DD"/>
    <w:rsid w:val="00C76FA2"/>
    <w:rsid w:val="00C8577C"/>
    <w:rsid w:val="00CA1AB8"/>
    <w:rsid w:val="00CA2F6E"/>
    <w:rsid w:val="00CC4A46"/>
    <w:rsid w:val="00CD2F8F"/>
    <w:rsid w:val="00CE1412"/>
    <w:rsid w:val="00CE3CB0"/>
    <w:rsid w:val="00CF1A54"/>
    <w:rsid w:val="00D004F9"/>
    <w:rsid w:val="00D12618"/>
    <w:rsid w:val="00D14B96"/>
    <w:rsid w:val="00D23279"/>
    <w:rsid w:val="00D403C4"/>
    <w:rsid w:val="00D45246"/>
    <w:rsid w:val="00D63043"/>
    <w:rsid w:val="00D81429"/>
    <w:rsid w:val="00DA5F99"/>
    <w:rsid w:val="00DB45CF"/>
    <w:rsid w:val="00DB5724"/>
    <w:rsid w:val="00DB75FE"/>
    <w:rsid w:val="00DE0A75"/>
    <w:rsid w:val="00DF5C03"/>
    <w:rsid w:val="00DF6AAE"/>
    <w:rsid w:val="00E01959"/>
    <w:rsid w:val="00E0505F"/>
    <w:rsid w:val="00E413E8"/>
    <w:rsid w:val="00E53E23"/>
    <w:rsid w:val="00E95122"/>
    <w:rsid w:val="00E9632B"/>
    <w:rsid w:val="00EC29E9"/>
    <w:rsid w:val="00ED3FCA"/>
    <w:rsid w:val="00F07DF5"/>
    <w:rsid w:val="00F31667"/>
    <w:rsid w:val="00F34E19"/>
    <w:rsid w:val="00F41C8A"/>
    <w:rsid w:val="00F617C2"/>
    <w:rsid w:val="00F90591"/>
    <w:rsid w:val="00F921E6"/>
    <w:rsid w:val="00F96D96"/>
    <w:rsid w:val="00FA46DB"/>
    <w:rsid w:val="00FD5718"/>
    <w:rsid w:val="00FE0F5B"/>
    <w:rsid w:val="00FE1100"/>
    <w:rsid w:val="00FE22C8"/>
    <w:rsid w:val="00FF67A3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customStyle="1" w:styleId="st">
    <w:name w:val="st"/>
    <w:basedOn w:val="a0"/>
    <w:rsid w:val="00602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customStyle="1" w:styleId="st">
    <w:name w:val="st"/>
    <w:basedOn w:val="a0"/>
    <w:rsid w:val="0060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483FE-281E-407C-B6E2-D449E210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509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sony2</cp:lastModifiedBy>
  <cp:revision>4</cp:revision>
  <cp:lastPrinted>2018-03-26T04:18:00Z</cp:lastPrinted>
  <dcterms:created xsi:type="dcterms:W3CDTF">2018-09-18T17:53:00Z</dcterms:created>
  <dcterms:modified xsi:type="dcterms:W3CDTF">2018-09-18T18:02:00Z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